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LineNumbers/>
        <w:spacing w:after="0" w:before="0" w:line="100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sr-RS" w:val="sr-RS"/>
        </w:rPr>
      </w:r>
    </w:p>
    <w:p>
      <w:pPr>
        <w:pStyle w:val="style0"/>
        <w:suppressLineNumbers/>
        <w:spacing w:after="0" w:before="0" w:line="100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sr-RS" w:val="sr-RS"/>
        </w:rPr>
        <w:t>ЗАШТИТА ЖИВОТНЕ СРЕДИНЕ У ИНДУСТРИЈСКИМ ОБЈЕКТИМА</w:t>
      </w:r>
    </w:p>
    <w:p>
      <w:pPr>
        <w:pStyle w:val="style0"/>
        <w:suppressLineNumbers/>
        <w:spacing w:after="0" w:before="0" w:line="100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sr-RS" w:val="sr-RS"/>
        </w:rPr>
      </w:r>
    </w:p>
    <w:p>
      <w:pPr>
        <w:pStyle w:val="style0"/>
        <w:suppressLineNumbers/>
        <w:spacing w:after="0" w:before="0" w:line="100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sr-RS" w:val="sr-RS"/>
        </w:rPr>
        <w:t>Контролна листа: Поступање са уређајима са ПЦБ уљима</w:t>
      </w:r>
    </w:p>
    <w:p>
      <w:pPr>
        <w:pStyle w:val="style0"/>
        <w:suppressLineNumbers/>
        <w:spacing w:after="0" w:before="0" w:line="100" w:lineRule="atLeast"/>
        <w:jc w:val="center"/>
      </w:pPr>
      <w:r>
        <w:rPr>
          <w:rFonts w:ascii="Times New Roman" w:eastAsia="Times New Roman" w:hAnsi="Times New Roman"/>
          <w:sz w:val="24"/>
          <w:szCs w:val="24"/>
          <w:lang w:eastAsia="sr-RS" w:val="sr-RS"/>
        </w:rPr>
        <w:t>Обавезе за уређаје са ПЦБ материјама из Закона о управљању отпадом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4"/>
          <w:szCs w:val="24"/>
          <w:lang w:val="sr-RS"/>
        </w:rPr>
        <w:t>Табела А: Општи подаци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4"/>
          <w:szCs w:val="24"/>
          <w:lang w:val="sr-RS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495"/>
        <w:gridCol w:w="5304"/>
      </w:tblGrid>
      <w:tr>
        <w:trPr>
          <w:cantSplit w:val="false"/>
        </w:trPr>
        <w:tc>
          <w:tcPr>
            <w:tcW w:type="dxa" w:w="54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Назив правног лица, предузетника</w:t>
            </w:r>
          </w:p>
        </w:tc>
        <w:tc>
          <w:tcPr>
            <w:tcW w:type="dxa" w:w="5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54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Општина и место седишта</w:t>
            </w:r>
          </w:p>
        </w:tc>
        <w:tc>
          <w:tcPr>
            <w:tcW w:type="dxa" w:w="5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54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Матични број</w:t>
            </w:r>
          </w:p>
        </w:tc>
        <w:tc>
          <w:tcPr>
            <w:tcW w:type="dxa" w:w="5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54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ПИБ</w:t>
            </w:r>
          </w:p>
        </w:tc>
        <w:tc>
          <w:tcPr>
            <w:tcW w:type="dxa" w:w="5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54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Име особе за контакт</w:t>
            </w:r>
          </w:p>
        </w:tc>
        <w:tc>
          <w:tcPr>
            <w:tcW w:type="dxa" w:w="5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54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Телефон и електронска адреса контакт особе</w:t>
            </w:r>
          </w:p>
        </w:tc>
        <w:tc>
          <w:tcPr>
            <w:tcW w:type="dxa" w:w="5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54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 xml:space="preserve">Број судског регистрационог улошка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(Попунити за установе)</w:t>
            </w:r>
          </w:p>
        </w:tc>
        <w:tc>
          <w:tcPr>
            <w:tcW w:type="dxa" w:w="5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54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sr-RS" w:val="sr-RS"/>
              </w:rPr>
              <w:t>Назив постројења/активности</w:t>
            </w:r>
          </w:p>
        </w:tc>
        <w:tc>
          <w:tcPr>
            <w:tcW w:type="dxa" w:w="5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cantSplit w:val="false"/>
        </w:trPr>
        <w:tc>
          <w:tcPr>
            <w:tcW w:type="dxa" w:w="54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sr-RS" w:val="sr-RS"/>
              </w:rPr>
              <w:t>Општина и место постројења/активности</w:t>
            </w:r>
          </w:p>
        </w:tc>
        <w:tc>
          <w:tcPr>
            <w:tcW w:type="dxa" w:w="5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  <w:t xml:space="preserve">Табела Б: Статус </w:t>
      </w:r>
      <w:r>
        <w:rPr>
          <w:rFonts w:ascii="Times New Roman" w:hAnsi="Times New Roman"/>
          <w:bCs/>
          <w:sz w:val="24"/>
          <w:szCs w:val="24"/>
          <w:lang w:val="sr-RS"/>
        </w:rPr>
        <w:t>правног лица, предузетника</w:t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544"/>
        <w:gridCol w:w="2250"/>
      </w:tblGrid>
      <w:tr>
        <w:trPr>
          <w:cantSplit w:val="false"/>
        </w:trPr>
        <w:tc>
          <w:tcPr>
            <w:tcW w:type="dxa" w:w="85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1782" w:val="left"/>
              </w:tabs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Да ли је правно лице, предузетник регистрован у АПР-у  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ДА                                             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НЕ *  </w:t>
            </w:r>
          </w:p>
        </w:tc>
      </w:tr>
      <w:tr>
        <w:trPr>
          <w:cantSplit w:val="false"/>
        </w:trPr>
        <w:tc>
          <w:tcPr>
            <w:tcW w:type="dxa" w:w="539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sr-RS"/>
              </w:rPr>
              <w:t>* П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sr-RS"/>
              </w:rPr>
              <w:t xml:space="preserve">равно лице, предузетник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sr-RS"/>
              </w:rPr>
              <w:t>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sr-RS" w:val="sr-RS"/>
        </w:rPr>
        <w:t>Табела В: Законске обавезе</w:t>
      </w:r>
    </w:p>
    <w:tbl>
      <w:tblPr>
        <w:jc w:val="left"/>
        <w:tblBorders>
          <w:top w:color="00000A" w:space="0" w:sz="4" w:val="single"/>
          <w:left w:color="00000A" w:space="0" w:sz="4" w:val="single"/>
          <w:right w:color="00000A" w:space="0" w:sz="4" w:val="single"/>
        </w:tblBorders>
      </w:tblPr>
      <w:tblGrid>
        <w:gridCol w:w="3688"/>
      </w:tblGrid>
      <w:tr>
        <w:trPr>
          <w:trHeight w:hRule="atLeast" w:val="416"/>
          <w:cantSplit w:val="true"/>
        </w:trPr>
        <w:tc>
          <w:tcPr>
            <w:tcW w:type="dxa" w:w="3688"/>
            <w:gridSpan w:val="3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 xml:space="preserve">А) Уређаји који садрже ПЦБ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4"/>
            <w:tcBorders>
              <w:top w:color="00000A" w:space="0" w:sz="4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А1</w:t>
            </w:r>
          </w:p>
        </w:tc>
        <w:tc>
          <w:tcPr>
            <w:tcW w:type="dxa" w:w="7681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val="sr-RS"/>
              </w:rPr>
              <w:t xml:space="preserve">Да ли је за уређај у употреби који садржи ПЦБ или за који постоји могућност да је контаминиран садржајем ПЦБ извршено испитивање садржаја ПЦБ у лабораторији акредитованој за испитивање садржаја ПЦБ </w:t>
            </w:r>
          </w:p>
        </w:tc>
        <w:tc>
          <w:tcPr>
            <w:tcW w:type="dxa" w:w="2850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Да                                             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Не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Није применљиво  </w:t>
            </w:r>
          </w:p>
        </w:tc>
      </w:tr>
      <w:tr>
        <w:trPr>
          <w:trHeight w:hRule="atLeast" w:val="664"/>
          <w:cantSplit w:val="true"/>
        </w:trPr>
        <w:tc>
          <w:tcPr>
            <w:tcW w:type="dxa" w:w="534"/>
            <w:tcBorders>
              <w:top w:color="00000A" w:space="0" w:sz="4" w:val="single"/>
              <w:left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en-US"/>
              </w:rPr>
              <w:t>A2</w:t>
            </w:r>
          </w:p>
        </w:tc>
        <w:tc>
          <w:tcPr>
            <w:tcW w:type="dxa" w:w="7681"/>
            <w:tcBorders>
              <w:top w:color="00000A" w:space="0" w:sz="4" w:val="single"/>
              <w:left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Да ли је вршено допуњавање трансформатора са ПЦБ </w:t>
            </w:r>
          </w:p>
        </w:tc>
        <w:tc>
          <w:tcPr>
            <w:tcW w:type="dxa" w:w="2850"/>
            <w:tcBorders>
              <w:top w:color="00000A" w:space="0" w:sz="4" w:val="single"/>
              <w:left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Да               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Није применљиво  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А3</w:t>
            </w:r>
          </w:p>
        </w:tc>
        <w:tc>
          <w:tcPr>
            <w:tcW w:type="dxa" w:w="76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је вршено привремено складиштење уређаја који садржи ПЦБ дуже од 24 месеца пре обезбеђивања његовог одлагања или деконтаминације</w:t>
            </w:r>
          </w:p>
        </w:tc>
        <w:tc>
          <w:tcPr>
            <w:tcW w:type="dxa" w:w="28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Да              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Није применљиво 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А4</w:t>
            </w:r>
          </w:p>
        </w:tc>
        <w:tc>
          <w:tcPr>
            <w:tcW w:type="dxa" w:w="76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се користе уређаји који садрже ПЦБ ако нису у исправном радном стању или ако цуре</w:t>
            </w:r>
          </w:p>
        </w:tc>
        <w:tc>
          <w:tcPr>
            <w:tcW w:type="dxa" w:w="28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Да           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Није применљиво  </w:t>
            </w:r>
          </w:p>
        </w:tc>
      </w:tr>
      <w:tr>
        <w:trPr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А5</w:t>
            </w:r>
          </w:p>
        </w:tc>
        <w:tc>
          <w:tcPr>
            <w:tcW w:type="dxa" w:w="76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Да ли је минстарству пријављен уређај који садржи више од 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RS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ПЦБ на одговарајућој Пријави података уређаја који садржи ПЦБ</w:t>
            </w:r>
          </w:p>
        </w:tc>
        <w:tc>
          <w:tcPr>
            <w:tcW w:type="dxa" w:w="28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Да             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Није применљиво 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А6</w:t>
            </w:r>
          </w:p>
        </w:tc>
        <w:tc>
          <w:tcPr>
            <w:tcW w:type="dxa" w:w="76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Да ли је минстарству достављен план замене, односно одлагања и деконтаминације уређаја који садржи више од 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ПЦБ</w:t>
            </w:r>
          </w:p>
        </w:tc>
        <w:tc>
          <w:tcPr>
            <w:tcW w:type="dxa" w:w="28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Да                              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Није применљиво 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А7</w:t>
            </w:r>
          </w:p>
        </w:tc>
        <w:tc>
          <w:tcPr>
            <w:tcW w:type="dxa" w:w="76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Да ли је обезбеђена деконтаминација уређаја који садржи више од 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ПЦБ тако да се садржај ПЦБ смањи испод 0,05 процената масеног удела </w:t>
            </w:r>
          </w:p>
        </w:tc>
        <w:tc>
          <w:tcPr>
            <w:tcW w:type="dxa" w:w="28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Да                              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Није применљиво 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А8</w:t>
            </w:r>
          </w:p>
        </w:tc>
        <w:tc>
          <w:tcPr>
            <w:tcW w:type="dxa" w:w="76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Да ли је о свим променама података који се односе на уређај који садржи више од 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ПЦБ обавештено министарство у року од три месеца од дана настанка промене</w:t>
            </w:r>
          </w:p>
        </w:tc>
        <w:tc>
          <w:tcPr>
            <w:tcW w:type="dxa" w:w="28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Да                              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Није применљиво 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А9</w:t>
            </w:r>
          </w:p>
        </w:tc>
        <w:tc>
          <w:tcPr>
            <w:tcW w:type="dxa" w:w="76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су, пре предаје уређаја који садрже ПЦБ овлашћеном лицу, предузете све мере предострожности како би се избегао ризик од пожара, укључујући и њихово држање даље од запаљивих производа</w:t>
            </w:r>
          </w:p>
        </w:tc>
        <w:tc>
          <w:tcPr>
            <w:tcW w:type="dxa" w:w="28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Да                              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Није применљиво 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А10</w:t>
            </w:r>
          </w:p>
        </w:tc>
        <w:tc>
          <w:tcPr>
            <w:tcW w:type="dxa" w:w="76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Да ли су уређаји који садрже ПЦБ мање од 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 који су саставни делови других уређаја уклоњени и одвојено сакупљени, рециклирани или одложени, по престанку употребе уређаја чији су саставни део</w:t>
            </w:r>
          </w:p>
        </w:tc>
        <w:tc>
          <w:tcPr>
            <w:tcW w:type="dxa" w:w="28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Да                                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Није применљиво     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А11</w:t>
            </w:r>
          </w:p>
        </w:tc>
        <w:tc>
          <w:tcPr>
            <w:tcW w:type="dxa" w:w="76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су сви уређаји који садрже ПЦБ и деконтаминирани уређаји, означени уочљивом ознаком отпорном на оштећења одговарајуће садржине, изгледа и димензија</w:t>
            </w:r>
          </w:p>
        </w:tc>
        <w:tc>
          <w:tcPr>
            <w:tcW w:type="dxa" w:w="28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Да                              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Није применљиво 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А12</w:t>
            </w:r>
          </w:p>
        </w:tc>
        <w:tc>
          <w:tcPr>
            <w:tcW w:type="dxa" w:w="76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се на уређају у употреби који садржи више од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ПЦБ налази евиденциони број пријаве тог уређаја</w:t>
            </w:r>
          </w:p>
        </w:tc>
        <w:tc>
          <w:tcPr>
            <w:tcW w:type="dxa" w:w="28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Да                              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Није применљиво 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А13</w:t>
            </w:r>
          </w:p>
        </w:tc>
        <w:tc>
          <w:tcPr>
            <w:tcW w:type="dxa" w:w="76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је простор или постројење у којима је смештен уређај који садржи ПЦБ обележен уочљивом ознаком на улазном делу, која јасно указује да се у простору налази уређај који садржи ПЦБ, одговарајуће садржине, изгледа и димензија</w:t>
            </w:r>
          </w:p>
        </w:tc>
        <w:tc>
          <w:tcPr>
            <w:tcW w:type="dxa" w:w="28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Да                              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Није применљиво  </w:t>
            </w:r>
          </w:p>
        </w:tc>
      </w:tr>
      <w:tr>
        <w:trPr>
          <w:trHeight w:hRule="atLeast" w:val="490"/>
          <w:cantSplit w:val="true"/>
        </w:trPr>
        <w:tc>
          <w:tcPr>
            <w:tcW w:type="dxa" w:w="3688"/>
            <w:gridSpan w:val="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Б) ПЦБ отпад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4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Б1</w:t>
            </w:r>
          </w:p>
        </w:tc>
        <w:tc>
          <w:tcPr>
            <w:tcW w:type="dxa" w:w="7681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Да ли се отпад који садржи ПЦБ одвојено сакупља</w:t>
            </w:r>
          </w:p>
        </w:tc>
        <w:tc>
          <w:tcPr>
            <w:tcW w:type="dxa" w:w="2850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Да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Није применљиво </w:t>
            </w:r>
          </w:p>
        </w:tc>
      </w:tr>
      <w:tr>
        <w:trPr>
          <w:trHeight w:hRule="atLeast" w:val="562"/>
          <w:cantSplit w:val="true"/>
        </w:trPr>
        <w:tc>
          <w:tcPr>
            <w:tcW w:type="dxa" w:w="534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Б2</w:t>
            </w:r>
          </w:p>
        </w:tc>
        <w:tc>
          <w:tcPr>
            <w:tcW w:type="dxa" w:w="7681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Да ли се ПЦБ отпад поново користи</w:t>
            </w:r>
          </w:p>
        </w:tc>
        <w:tc>
          <w:tcPr>
            <w:tcW w:type="dxa" w:w="2850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Да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Није применљиво 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4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Б3</w:t>
            </w:r>
          </w:p>
        </w:tc>
        <w:tc>
          <w:tcPr>
            <w:tcW w:type="dxa" w:w="7681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Да ли је за ПЦБ отпад прибављен извештај о испитивању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отпада, од стране овлашћеног лица</w:t>
            </w:r>
          </w:p>
        </w:tc>
        <w:tc>
          <w:tcPr>
            <w:tcW w:type="dxa" w:w="2850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Да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Није применљиво   </w:t>
            </w:r>
          </w:p>
        </w:tc>
      </w:tr>
      <w:tr>
        <w:trPr>
          <w:trHeight w:hRule="atLeast" w:val="862"/>
          <w:cantSplit w:val="true"/>
        </w:trPr>
        <w:tc>
          <w:tcPr>
            <w:tcW w:type="dxa" w:w="534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Б4</w:t>
            </w:r>
          </w:p>
        </w:tc>
        <w:tc>
          <w:tcPr>
            <w:tcW w:type="dxa" w:w="7681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Да ли се ПЦБ отпад привремено складишти дуже 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24 месеца пре обезбеђивања његовог одлагања или деконтаминације</w:t>
            </w:r>
          </w:p>
        </w:tc>
        <w:tc>
          <w:tcPr>
            <w:tcW w:type="dxa" w:w="2850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Да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Није применљиво 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4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Б5</w:t>
            </w:r>
          </w:p>
        </w:tc>
        <w:tc>
          <w:tcPr>
            <w:tcW w:type="dxa" w:w="7681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Да ли је за ПЦБ отпад обезбеђено одлагање поступцима или методама који су утврђени прописом којим се уређују категорије, испитивање и класификација отпада </w:t>
            </w:r>
          </w:p>
        </w:tc>
        <w:tc>
          <w:tcPr>
            <w:tcW w:type="dxa" w:w="2850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Да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Није применљиво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Б6</w:t>
            </w:r>
          </w:p>
        </w:tc>
        <w:tc>
          <w:tcPr>
            <w:tcW w:type="dxa" w:w="76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Да ли су, пре предаје ПЦБ отпада овлашћеном лицу, предузете све мере предострожности како би се избегао ризик од пожара, укључујући и његово држање даље од запаљивих производа</w:t>
            </w:r>
          </w:p>
        </w:tc>
        <w:tc>
          <w:tcPr>
            <w:tcW w:type="dxa" w:w="28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Да                              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Није применљиво 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Б7</w:t>
            </w:r>
          </w:p>
        </w:tc>
        <w:tc>
          <w:tcPr>
            <w:tcW w:type="dxa" w:w="76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Да ли је министарству достављена пријава података о ПЦБ отпаду, на прописаном обрасцу</w:t>
            </w:r>
          </w:p>
        </w:tc>
        <w:tc>
          <w:tcPr>
            <w:tcW w:type="dxa" w:w="28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Да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Није применљиво                                                  </w:t>
            </w:r>
          </w:p>
        </w:tc>
      </w:tr>
      <w:tr>
        <w:trPr>
          <w:trHeight w:hRule="atLeast" w:val="440"/>
          <w:cantSplit w:val="true"/>
        </w:trPr>
        <w:tc>
          <w:tcPr>
            <w:tcW w:type="dxa" w:w="534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 w:val="sr-RS"/>
              </w:rPr>
              <w:t>Б8</w:t>
            </w:r>
          </w:p>
        </w:tc>
        <w:tc>
          <w:tcPr>
            <w:tcW w:type="dxa" w:w="768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keepNext/>
              <w:spacing w:after="0" w:before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Да ли је ПЦБ отпад предат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лицу које има дозволу за управљање ПЦБ отпадом</w:t>
            </w:r>
          </w:p>
        </w:tc>
        <w:tc>
          <w:tcPr>
            <w:tcW w:type="dxa" w:w="28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Да                            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>Не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MS Gothic" w:cs="Times New Roman" w:eastAsia="MS Gothic" w:hAnsi="MS Gothic"/>
                <w:sz w:val="24"/>
                <w:szCs w:val="24"/>
                <w:lang w:val="sr-RS"/>
              </w:rPr>
              <w:t>☐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  <w:t xml:space="preserve">Није применљиво           </w:t>
            </w:r>
          </w:p>
        </w:tc>
      </w:tr>
    </w:tbl>
    <w:p>
      <w:pPr>
        <w:pStyle w:val="style0"/>
        <w:spacing w:after="0" w:before="0" w:line="100" w:lineRule="atLeast"/>
      </w:pPr>
      <w:bookmarkStart w:id="0" w:name="_Toc178427149"/>
      <w:bookmarkStart w:id="1" w:name="_Toc178427149"/>
      <w:bookmarkEnd w:id="1"/>
      <w:r>
        <w:rPr>
          <w:rFonts w:ascii="Times New Roman" w:cs="Times New Roman" w:hAnsi="Times New Roman"/>
          <w:w w:val="90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w w:val="90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w w:val="90"/>
          <w:sz w:val="24"/>
          <w:szCs w:val="24"/>
          <w:lang w:val="sr-RS"/>
        </w:rPr>
        <w:tab/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7904"/>
        <w:gridCol w:w="1"/>
      </w:tblGrid>
      <w:tr>
        <w:trPr>
          <w:cantSplit w:val="false"/>
        </w:trPr>
        <w:tc>
          <w:tcPr>
            <w:tcW w:type="dxa" w:w="790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редставници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  <w:lang w:val="sr-RS"/>
              </w:rPr>
              <w:t xml:space="preserve"> правног лица, предузетника, друго лице: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Инспектори за заштиту животне средине</w:t>
            </w: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ru-RU"/>
              </w:rPr>
              <w:t>:</w:t>
            </w:r>
          </w:p>
        </w:tc>
      </w:tr>
      <w:tr>
        <w:trPr>
          <w:cantSplit w:val="false"/>
        </w:trPr>
        <w:tc>
          <w:tcPr>
            <w:tcW w:type="dxa" w:w="37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Име и презиме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:</w:t>
            </w:r>
          </w:p>
        </w:tc>
        <w:tc>
          <w:tcPr>
            <w:tcW w:type="dxa" w:w="4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Радно место</w:t>
            </w: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Име и презиме</w:t>
            </w: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>
        <w:trPr>
          <w:cantSplit w:val="false"/>
        </w:trPr>
        <w:tc>
          <w:tcPr>
            <w:tcW w:type="dxa" w:w="37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1.</w:t>
            </w:r>
          </w:p>
        </w:tc>
        <w:tc>
          <w:tcPr>
            <w:tcW w:type="dxa" w:w="4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1.</w:t>
            </w: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37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 xml:space="preserve">2. </w:t>
            </w:r>
          </w:p>
        </w:tc>
        <w:tc>
          <w:tcPr>
            <w:tcW w:type="dxa" w:w="4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en-US"/>
              </w:rPr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2.</w:t>
            </w:r>
          </w:p>
        </w:tc>
      </w:tr>
      <w:tr>
        <w:trPr>
          <w:cantSplit w:val="false"/>
        </w:trPr>
        <w:tc>
          <w:tcPr>
            <w:tcW w:type="dxa" w:w="37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 xml:space="preserve">3. </w:t>
            </w:r>
          </w:p>
        </w:tc>
        <w:tc>
          <w:tcPr>
            <w:tcW w:type="dxa" w:w="4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  <w:jc w:val="both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en-US"/>
              </w:rPr>
            </w:r>
          </w:p>
        </w:tc>
        <w:tc>
          <w:tcPr>
            <w:tcW w:type="dxa" w:w="3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overflowPunct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3.</w:t>
            </w:r>
          </w:p>
        </w:tc>
      </w:tr>
      <w:tr>
        <w:trPr>
          <w:trHeight w:hRule="atLeast" w:val="327"/>
          <w:cantSplit w:val="false"/>
        </w:trPr>
        <w:tc>
          <w:tcPr>
            <w:tcW w:type="dxa" w:w="371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Датум инспекцијског надзора на терену:</w:t>
            </w:r>
          </w:p>
        </w:tc>
      </w:tr>
      <w:tr>
        <w:trPr>
          <w:trHeight w:hRule="atLeast" w:val="499"/>
          <w:cantSplit w:val="false"/>
        </w:trPr>
        <w:tc>
          <w:tcPr>
            <w:tcW w:type="dxa" w:w="371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overflowPunct w:val="true"/>
              <w:spacing w:after="0" w:before="0" w:line="100" w:lineRule="atLeast"/>
            </w:pP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  <w:lang w:eastAsia="de-DE" w:val="sr-RS"/>
              </w:rPr>
              <w:t>Број записника, уз који се прилаже контролна листа:</w:t>
            </w:r>
          </w:p>
        </w:tc>
      </w:tr>
    </w:tbl>
    <w:p>
      <w:pPr>
        <w:pStyle w:val="style0"/>
        <w:spacing w:after="0" w:before="0" w:line="100" w:lineRule="atLeast"/>
        <w:jc w:val="both"/>
      </w:pPr>
      <w:r>
        <w:rPr/>
      </w:r>
    </w:p>
    <w:sectPr>
      <w:headerReference r:id="rId2" w:type="even"/>
      <w:headerReference r:id="rId3" w:type="default"/>
      <w:footerReference r:id="rId4" w:type="even"/>
      <w:footerReference r:id="rId5" w:type="default"/>
      <w:type w:val="nextPage"/>
      <w:pgSz w:h="16838" w:w="11906"/>
      <w:pgMar w:bottom="1418" w:footer="709" w:gutter="0" w:header="709" w:left="1418" w:right="1418" w:top="1418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jc w:val="right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ascii="Times New Roman" w:cs="Times New Roman" w:hAnsi="Times New Roman"/>
        <w:sz w:val="24"/>
        <w:szCs w:val="24"/>
      </w:rPr>
      <w:t>/</w:t>
    </w:r>
    <w:r>
      <w:rPr>
        <w:rFonts w:ascii="Times New Roman" w:cs="Times New Roman" w:hAnsi="Times New Roman"/>
        <w:sz w:val="24"/>
        <w:szCs w:val="24"/>
        <w:lang w:val="sr-RS"/>
      </w:rPr>
      <w:t>3</w:t>
    </w:r>
  </w:p>
  <w:p>
    <w:pPr>
      <w:pStyle w:val="style32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  <w:ind w:hanging="0" w:left="0" w:right="-588"/>
    </w:pPr>
    <w:r>
      <w:rPr/>
      <w:drawing>
        <wp:inline distB="0" distL="0" distR="0" distT="0">
          <wp:extent cx="390525" cy="676275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  <w:spacing w:after="0" w:before="0" w:line="100" w:lineRule="atLeast"/>
    </w:pPr>
    <w:r>
      <w:rPr>
        <w:rFonts w:ascii="Times New Roman" w:cs="Times New Roman" w:eastAsia="Times New Roman" w:hAnsi="Times New Roman"/>
        <w:b/>
        <w:lang w:val="ru-RU"/>
      </w:rPr>
      <w:t>Република Србија</w:t>
    </w:r>
  </w:p>
  <w:p>
    <w:pPr>
      <w:pStyle w:val="style0"/>
      <w:spacing w:after="0" w:before="0" w:line="100" w:lineRule="atLeast"/>
    </w:pPr>
    <w:r>
      <w:rPr>
        <w:rFonts w:ascii="Times New Roman" w:cs="Times New Roman" w:eastAsia="Times New Roman" w:hAnsi="Times New Roman"/>
        <w:lang w:val="sr-RS"/>
      </w:rPr>
      <w:t>МИНИСТАРСТ</w:t>
    </w:r>
    <w:r>
      <w:rPr>
        <w:rFonts w:ascii="Times New Roman" w:cs="Times New Roman" w:eastAsia="Times New Roman" w:hAnsi="Times New Roman"/>
        <w:lang w:val="ru-RU"/>
      </w:rPr>
      <w:t>ВО ЗАШТИТЕ ЖИВОТНЕ СРЕДИНЕ</w:t>
    </w:r>
  </w:p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cs="Times New Roman" w:eastAsia="Times New Roman" w:hAnsi="Times New Roman"/>
        <w:lang w:val="ru-RU"/>
      </w:rPr>
      <w:t xml:space="preserve">Сектор </w:t>
    </w:r>
    <w:r>
      <w:rPr>
        <w:rFonts w:ascii="Times New Roman" w:cs="Times New Roman" w:eastAsia="Times New Roman" w:hAnsi="Times New Roman"/>
        <w:lang w:val="sr-RS"/>
      </w:rPr>
      <w:t>за надзор и предострожност у животној средини</w:t>
    </w:r>
  </w:p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cs="Times New Roman" w:eastAsia="Times New Roman" w:hAnsi="Times New Roman"/>
        <w:lang w:val="ru-RU"/>
      </w:rPr>
      <w:t>Инспекција за заштиту животне средине</w:t>
    </w:r>
  </w:p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</w:pPr>
    <w:r>
      <w:rPr>
        <w:rFonts w:ascii="Times New Roman" w:cs="Times New Roman" w:eastAsia="Times New Roman" w:hAnsi="Times New Roman"/>
        <w:b/>
        <w:sz w:val="24"/>
        <w:szCs w:val="24"/>
        <w:lang w:val="sr-RS"/>
      </w:rPr>
      <w:t>Шифра: КЛ-09-0</w:t>
    </w:r>
    <w:r>
      <w:rPr>
        <w:rFonts w:ascii="Times New Roman" w:cs="Times New Roman" w:eastAsia="Times New Roman" w:hAnsi="Times New Roman"/>
        <w:b/>
        <w:sz w:val="24"/>
        <w:szCs w:val="24"/>
        <w:lang w:val="en-US"/>
      </w:rPr>
      <w:t>1</w:t>
    </w:r>
    <w:r>
      <w:rPr>
        <w:rFonts w:ascii="Times New Roman" w:cs="Times New Roman" w:eastAsia="Times New Roman" w:hAnsi="Times New Roman"/>
        <w:b/>
        <w:sz w:val="24"/>
        <w:szCs w:val="24"/>
        <w:lang w:val="sr-RS"/>
      </w:rPr>
      <w:t>/02</w:t>
    </w:r>
  </w:p>
  <w:p>
    <w:pPr>
      <w:pStyle w:val="style0"/>
      <w:tabs>
        <w:tab w:leader="none" w:pos="1418" w:val="center"/>
        <w:tab w:leader="none" w:pos="4536" w:val="center"/>
        <w:tab w:leader="none" w:pos="9072" w:val="right"/>
        <w:tab w:leader="none" w:pos="9360" w:val="right"/>
      </w:tabs>
      <w:spacing w:after="0" w:before="0" w:line="100" w:lineRule="atLeast"/>
    </w:pPr>
    <w:r>
      <w:rPr>
        <w:rFonts w:ascii="Times New Roman" w:cs="Times New Roman" w:eastAsia="Times New Roman" w:hAnsi="Times New Roman"/>
        <w:b/>
        <w:sz w:val="24"/>
        <w:szCs w:val="24"/>
        <w:lang w:val="sr-RS"/>
      </w:rPr>
      <w:t xml:space="preserve">Датум: </w:t>
    </w:r>
    <w:r>
      <w:rPr>
        <w:rFonts w:ascii="Times New Roman" w:cs="Times New Roman" w:eastAsia="Times New Roman" w:hAnsi="Times New Roman"/>
        <w:b/>
        <w:sz w:val="24"/>
        <w:szCs w:val="24"/>
      </w:rPr>
      <w:t>27.12</w:t>
    </w:r>
    <w:bookmarkStart w:id="2" w:name="_GoBack"/>
    <w:bookmarkEnd w:id="2"/>
    <w:r>
      <w:rPr>
        <w:rFonts w:ascii="Times New Roman" w:cs="Times New Roman" w:eastAsia="Times New Roman" w:hAnsi="Times New Roman"/>
        <w:b/>
        <w:sz w:val="24"/>
        <w:szCs w:val="24"/>
      </w:rPr>
      <w:t>.2019.</w:t>
    </w:r>
  </w:p>
  <w:p>
    <w:pPr>
      <w:pStyle w:val="style31"/>
    </w:pPr>
    <w:r>
      <w:rPr/>
    </w:r>
  </w:p>
</w:hdr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Verdana" w:cs="Arial" w:eastAsia="Verdana" w:hAnsi="Verdana"/>
      <w:color w:val="auto"/>
      <w:sz w:val="22"/>
      <w:szCs w:val="22"/>
      <w:lang w:bidi="ar-SA" w:eastAsia="en-US" w:val="en-GB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next w:val="style18"/>
    <w:rPr>
      <w:rFonts w:ascii="Wingdings" w:cs="Wingdings" w:hAnsi="Wingdings"/>
      <w:sz w:val="16"/>
      <w:szCs w:val="16"/>
      <w:lang w:eastAsia="en-US"/>
    </w:rPr>
  </w:style>
  <w:style w:styleId="style19" w:type="character">
    <w:name w:val="annotation reference"/>
    <w:next w:val="style19"/>
    <w:rPr>
      <w:sz w:val="16"/>
      <w:szCs w:val="16"/>
    </w:rPr>
  </w:style>
  <w:style w:styleId="style20" w:type="character">
    <w:name w:val="Comment Text Char"/>
    <w:next w:val="style20"/>
    <w:rPr>
      <w:lang w:eastAsia="en-US"/>
    </w:rPr>
  </w:style>
  <w:style w:styleId="style21" w:type="character">
    <w:name w:val="Comment Subject Char"/>
    <w:next w:val="style21"/>
    <w:rPr>
      <w:b/>
      <w:bCs/>
      <w:lang w:eastAsia="en-US"/>
    </w:rPr>
  </w:style>
  <w:style w:styleId="style22" w:type="character">
    <w:name w:val="Internet Link"/>
    <w:next w:val="style22"/>
    <w:rPr>
      <w:color w:val="0563C1"/>
      <w:u w:val="single"/>
      <w:lang w:bidi="en-US" w:eastAsia="en-US" w:val="en-US"/>
    </w:rPr>
  </w:style>
  <w:style w:styleId="style23" w:type="character">
    <w:name w:val="ListLabel 1"/>
    <w:next w:val="style23"/>
    <w:rPr>
      <w:b w:val="false"/>
    </w:rPr>
  </w:style>
  <w:style w:styleId="style24" w:type="character">
    <w:name w:val="ListLabel 2"/>
    <w:next w:val="style24"/>
    <w:rPr>
      <w:b w:val="false"/>
      <w:i w:val="false"/>
    </w:rPr>
  </w:style>
  <w:style w:styleId="style25" w:type="character">
    <w:name w:val="ListLabel 3"/>
    <w:next w:val="style25"/>
    <w:rPr>
      <w:rFonts w:cs="Courier New"/>
    </w:rPr>
  </w:style>
  <w:style w:styleId="style26" w:type="paragraph">
    <w:name w:val="Heading"/>
    <w:basedOn w:val="style0"/>
    <w:next w:val="style27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7" w:type="paragraph">
    <w:name w:val="Text body"/>
    <w:basedOn w:val="style0"/>
    <w:next w:val="style27"/>
    <w:pPr>
      <w:spacing w:after="120" w:before="0"/>
    </w:pPr>
    <w:rPr/>
  </w:style>
  <w:style w:styleId="style28" w:type="paragraph">
    <w:name w:val="List"/>
    <w:basedOn w:val="style27"/>
    <w:next w:val="style28"/>
    <w:pPr/>
    <w:rPr>
      <w:rFonts w:cs="Mangal"/>
    </w:rPr>
  </w:style>
  <w:style w:styleId="style29" w:type="paragraph">
    <w:name w:val="Caption"/>
    <w:basedOn w:val="style0"/>
    <w:next w:val="style2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0" w:type="paragraph">
    <w:name w:val="Index"/>
    <w:basedOn w:val="style0"/>
    <w:next w:val="style30"/>
    <w:pPr>
      <w:suppressLineNumbers/>
    </w:pPr>
    <w:rPr>
      <w:rFonts w:cs="Mangal"/>
    </w:rPr>
  </w:style>
  <w:style w:styleId="style31" w:type="paragraph">
    <w:name w:val="Header"/>
    <w:basedOn w:val="style0"/>
    <w:next w:val="style31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32" w:type="paragraph">
    <w:name w:val="Footer"/>
    <w:basedOn w:val="style0"/>
    <w:next w:val="style32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33" w:type="paragraph">
    <w:name w:val="Balloon Text"/>
    <w:basedOn w:val="style0"/>
    <w:next w:val="style33"/>
    <w:pPr>
      <w:spacing w:after="0" w:before="0" w:line="100" w:lineRule="atLeast"/>
    </w:pPr>
    <w:rPr>
      <w:rFonts w:ascii="Wingdings" w:cs="Times New Roman" w:hAnsi="Wingdings"/>
      <w:sz w:val="16"/>
      <w:szCs w:val="16"/>
      <w:lang w:val="en-US"/>
    </w:rPr>
  </w:style>
  <w:style w:styleId="style34" w:type="paragraph">
    <w:name w:val="List Paragraph"/>
    <w:basedOn w:val="style0"/>
    <w:next w:val="style34"/>
    <w:pPr>
      <w:spacing w:after="0" w:before="0" w:line="100" w:lineRule="atLeast"/>
      <w:ind w:hanging="0" w:left="720" w:right="0"/>
    </w:pPr>
    <w:rPr>
      <w:rFonts w:ascii="Calibri" w:cs="Calibri" w:eastAsia="Arial" w:hAnsi="Calibri"/>
      <w:color w:val="000000"/>
      <w:sz w:val="24"/>
      <w:szCs w:val="24"/>
      <w:lang w:val="en-US"/>
    </w:rPr>
  </w:style>
  <w:style w:styleId="style35" w:type="paragraph">
    <w:name w:val="annotation text"/>
    <w:basedOn w:val="style0"/>
    <w:next w:val="style35"/>
    <w:pPr/>
    <w:rPr>
      <w:rFonts w:cs="Times New Roman"/>
      <w:sz w:val="20"/>
      <w:szCs w:val="20"/>
      <w:lang w:val="en-US"/>
    </w:rPr>
  </w:style>
  <w:style w:styleId="style36" w:type="paragraph">
    <w:name w:val="annotation subject"/>
    <w:basedOn w:val="style35"/>
    <w:next w:val="style36"/>
    <w:pPr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9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2019-12-31T10:01:00.00Z</dcterms:created>
  <dc:creator>Jelena Stankovic</dc:creator>
  <cp:lastModifiedBy>Jelena Dj. Golubovic</cp:lastModifiedBy>
  <cp:lastPrinted>2018-07-25T11:24:00.00Z</cp:lastPrinted>
  <dcterms:modified xsi:type="dcterms:W3CDTF">2019-12-31T10:01:00.00Z</dcterms:modified>
  <cp:revision>2</cp:revision>
</cp:coreProperties>
</file>